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МЕТОДИЧЕСКАЯ РАЗРАБОТКА УРОКА ХИМИИ В 8 КЛАССЕ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«КИСЛОТНОСТЬ СРЕДЫ»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 ИСПОЛЬЗОВАНИЕМ ОБОРУДОВАНИЯ «ТОЧКА РОСТА»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Тип урока: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 w:val="28"/>
          <w:szCs w:val="28"/>
        </w:rPr>
        <w:t>﻿</w:t>
      </w:r>
      <w:r>
        <w:rPr>
          <w:rFonts w:eastAsia="Times New Roman" w:cs="Times New Roman" w:ascii="Times New Roman" w:hAnsi="Times New Roman"/>
          <w:sz w:val="28"/>
          <w:szCs w:val="28"/>
        </w:rPr>
        <w:t>урок «открытия» нового знания.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Цели: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образовательные: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организовать учебную деятельность обучающихся, направленную на освоение ими знаний о кислотности среды ;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развивающие: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формирование у обучающихся универсальных умений (познавательных, регулятивных, коммуникативных): самостоятельно определять цель своей деятельности, находить проблему, формулировать её и решать, устанавливать причинно-следственные связи, организовывать совместную деятельность на конечный результат, выражать свои мысли;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воспитательные: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организовать учебную деятельность обучающихся, направленную на выработку бережного отношения к природе и экологической культуры, содействовать формированию у обучающихся санитарно-гигиенического воспитания.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Планируемые образовательные результаты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Предметные: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раскрывать смысл понятий «кислотность среды» и ; наблюдать самостоятельно проводимые опыты; описывать результаты эксперимента.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Метапредметные: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использовать знаково-символические средства для раскрытия сущности процессов; проводить наблюдения, делать выводы.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Личностные: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грамотно обращаться с веществами в химической лаборатории и в быту; осознавать значение теоретических знаний по химии для практической деятельности человека.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Методы обучения: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словесный, частично – поисковый, групповой.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Средства обучения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Учебник «Химия. 8 класс». Издательство «Дрофа», 2014. Авторы О.С.Габриелян, В.И.Сивоглазов, С.А.Сладков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Медиапроектор, компьютер.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Цифровая лаборатория по химии Z.Labs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Ход урока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1. Организационный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Взаимное приветствие, проверка учителем готовности обучающихся к уроку.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2. Проверка домашнего задания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Химический диктант. Распределите формулы веществ по классам: CaCl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, НCl, KOH,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CO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,Mg(NO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, НNO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SiO</w:t>
      </w:r>
      <w:r>
        <w:rPr>
          <w:rFonts w:eastAsia="Times New Roman" w:cs="Times New Roman" w:ascii="Times New Roman" w:hAnsi="Times New Roman"/>
          <w:sz w:val="28"/>
          <w:szCs w:val="28"/>
        </w:rPr>
        <w:t>2,HCO3, Na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CO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>, Ва(ОН)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, K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S, Zn(NO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N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H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PO</w:t>
      </w:r>
      <w:r>
        <w:rPr>
          <w:rFonts w:eastAsia="Times New Roman" w:cs="Times New Roman" w:ascii="Times New Roman" w:hAnsi="Times New Roman"/>
          <w:sz w:val="28"/>
          <w:szCs w:val="28"/>
          <w:vertAlign w:val="subscript"/>
        </w:rPr>
        <w:t>4.</w:t>
      </w:r>
    </w:p>
    <w:p>
      <w:pPr>
        <w:pStyle w:val="ListParagraph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(проверка задания и самооценивание)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3. Актуализация знаний. Целеполагание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Прежде, чем мы перейдем к изучению новой темы, я прошу вас назвать в каких веществах присутствуют ионы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H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+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 в каких ионы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OH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>. Кислотные или щелочные свойства растворов зависят от присутствия в них ионов Н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+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или ОН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>. Следовательно, кислотность или щелочность растворов может характеризоваться количественно. Как вы думаете, какова цель нашего урока? (Выяснить, в чем заключается количественная характеристика кислотности растворов.)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Записываем тему урока: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Кислотность среды.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Могут ли кислота и щелочь одновременно находиться в растворе?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Вводим понятия «кислотная среда», «щелочная среда», «нейтральная среда»: растворы, содержащие избыток ионов водорода, называют кислотными; растворы, содержащие избыток гидроксид-ионов, называют щелочными; растворы, в которых концентрация ионов водорода равна концентрации гидроксид-ионов, называют нейтральными.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Проблема.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Как можно практически определить кислотность среды?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4. Изучение нового материала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1909 году датский химик Серенсен предложил величину, называемую водородным показателем рН (р – начальная буква слова «potens» - математическая степень; Н – символ водорода), который характеризует концентрацию ионов водорода в растворе: в чистой воде и нейтральных растворах значение рН = 7,0. Из-за малых примесей растворённого углекислого газа в дистиллированной воде рН может колебаться от 5,5 до 7. Нейтральной считают среду с диапазоном рН от 6 до 8. В кислотных растворах рН 7,0 (в растворах щелочей около 14). Чем больше в растворе ионов водорода, тем меньше рН и тем более кислотную среду имеет раствор. Сильнокислотные растворы характеризуются значениями рН от 0 до 3,0, сильнощелочные — от 11,0 до 14,0.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Простым способом определения характера среды является применение индикаторов - химических веществ, окраска которых изменяется в зависимости от рН среды.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Как индикаторы изменяют свою окраску в различных средах? На этот вопрос мы ответим после выполнения лабораторной работы.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Обучающиеся в группах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выполняют лабораторный опыт «Сравнение окраски индикаторов в разных средах».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результатам эксперимента обучающиеся заполняют таблицу.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Результаты измерений</w:t>
      </w:r>
    </w:p>
    <w:tbl>
      <w:tblPr>
        <w:tblW w:w="9855" w:type="dxa"/>
        <w:jc w:val="left"/>
        <w:tblInd w:w="122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2572"/>
        <w:gridCol w:w="1509"/>
        <w:gridCol w:w="2927"/>
        <w:gridCol w:w="2846"/>
      </w:tblGrid>
      <w:tr>
        <w:trPr/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Исследуемый раствор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Значение рН</w:t>
            </w:r>
          </w:p>
        </w:tc>
        <w:tc>
          <w:tcPr>
            <w:tcW w:w="5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Цвет индикатора</w:t>
            </w:r>
          </w:p>
        </w:tc>
      </w:tr>
      <w:tr>
        <w:trPr/>
        <w:tc>
          <w:tcPr>
            <w:tcW w:w="25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Индикатор фенолфталеин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Индикатор метилоранж</w:t>
            </w:r>
          </w:p>
        </w:tc>
      </w:tr>
      <w:tr>
        <w:trPr>
          <w:trHeight w:val="435" w:hRule="atLeast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Апельсиновый сок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35" w:hRule="atLeast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Кофе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35" w:hRule="atLeast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Туалетное мыло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35" w:hRule="atLeast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Уксусная кислота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Водопроводная вода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Делают вывод, какие из выданных растворов являются нейтральными, кислотными, щелочными.</w:t>
      </w:r>
    </w:p>
    <w:p>
      <w:pPr>
        <w:pStyle w:val="ListParagraph"/>
        <w:spacing w:lineRule="auto" w:line="240" w:beforeAutospacing="1" w:afterAutospacing="1"/>
        <w:ind w:left="0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Используя цифровую лабораторию по химии Z.Labs, демонстрируем эксперимент «Определение уровня рН разных растворов». С помощью датчика рН определяем кислотность среды различных растворов.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Обучающиеся вносят показания в таблицу.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Вопросы и задания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Запишите в тетради  проанализированные вещества в порядке роста уровня рН.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Как Вы думаете, какие жидкости не рекомендуется употреблять людям с язвенной болезнью желудка? Почему?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(Все слабо- и сильнокислые растворы (лимонный и апельсиновый соки, газировка, кофе) могут вызвать обострение язвенной болезни из-за излишней кислотности).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5. Проверка усвоения материала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Групповая работа обучающихся по развитию функциональной грамотности.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 группа: Клеточный сок многих растений способен менять свой цвет в зависимости от кислотности среды. Например, сок краснокочанной капусты, который обычно имеет сине-фиолетовый цвет, в кислоте приобретает красный, а в щёлочи – жёлто-зелёный цвет. Рассказывая об истории открытия индикаторов младшему брату, Василий продемонстрировал следующий опыт: лист краснокочанной капусты поместил в стакан с нашатырным спиртом, а затем к раствору постепенно стал приливать сок лимона. Как изменялся цвет листа капусты?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Расположите названия цветов в правильной последовательности (от щелочной среды к кислотной).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 группа: В истории химии известно довольно много «случайных» открытий. Одно из них совершил Роберт Бойль. Однажды в лабораторию, где он проводил опыты, садовник принёс фиалки, на которые попали пары кислоты, и их тёмно-фиолетовые лепестки стали красными. Заинтересовавшись этим явлением, Бойль приготовил растворы различных веществ, разлил их по стаканам и в каждый опустил по цветку. В некоторых стаканах цветы немедленно начали краснеть. В результате проведённых опытов учёный определил закономерность: в растворах кислот лепестки становились красными, а в растворах щелочей – синими. Что проверял Бойль в опытах с фиалками?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Этап 6. Подведение итогов урока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Обучающиеся устно оценивают индивидуальные достижения в усвоении изученной темы и свою работу на уроке.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Учитель выставляет отметки за конкретные виды работы обучающимся на основе их самооценки, комментирует домашнее задание.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Учитель: Хасанова О.М.</w:t>
      </w:r>
    </w:p>
    <w:sectPr>
      <w:type w:val="nextPage"/>
      <w:pgSz w:w="11906" w:h="16838"/>
      <w:pgMar w:left="1418" w:right="707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0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d60d3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04c1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LibreOffice/7.5.2.1$Linux_X86_64 LibreOffice_project/50$Build-1</Application>
  <AppVersion>15.0000</AppVersion>
  <Pages>4</Pages>
  <Words>809</Words>
  <Characters>5685</Characters>
  <CharactersWithSpaces>6445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2024-02-26T10:59:00Z</dcterms:created>
  <dc:creator>ученник 7</dc:creator>
  <dc:description/>
  <dc:language>ru-RU</dc:language>
  <cp:lastModifiedBy/>
  <cp:lastPrinted>2024-02-27T12:21:00Z</cp:lastPrinted>
  <dcterms:modified xsi:type="dcterms:W3CDTF">2025-01-29T23:00:23Z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